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1CD14" w14:textId="77777777" w:rsidR="002F180C" w:rsidRDefault="002F180C" w:rsidP="002F180C">
      <w:pPr>
        <w:spacing w:line="285" w:lineRule="atLeast"/>
        <w:rPr>
          <w:rFonts w:ascii="Helvetica" w:hAnsi="Helvetica" w:cs="Helvetica"/>
          <w:b/>
          <w:bCs/>
          <w:color w:val="333333"/>
          <w:sz w:val="32"/>
          <w:szCs w:val="32"/>
        </w:rPr>
      </w:pPr>
      <w:r>
        <w:rPr>
          <w:rFonts w:ascii="Helvetica" w:hAnsi="Helvetica" w:cs="Helvetica"/>
          <w:b/>
          <w:bCs/>
          <w:sz w:val="32"/>
          <w:szCs w:val="32"/>
        </w:rPr>
        <w:t>Accreditation –Whistleblower legislation comes into effect 1 January 2020.</w:t>
      </w:r>
    </w:p>
    <w:tbl>
      <w:tblPr>
        <w:tblW w:w="8700" w:type="dxa"/>
        <w:tblCellMar>
          <w:left w:w="0" w:type="dxa"/>
          <w:right w:w="0" w:type="dxa"/>
        </w:tblCellMar>
        <w:tblLook w:val="04A0" w:firstRow="1" w:lastRow="0" w:firstColumn="1" w:lastColumn="0" w:noHBand="0" w:noVBand="1"/>
      </w:tblPr>
      <w:tblGrid>
        <w:gridCol w:w="9006"/>
      </w:tblGrid>
      <w:tr w:rsidR="002F180C" w14:paraId="7C106541" w14:textId="77777777" w:rsidTr="002F180C">
        <w:tc>
          <w:tcPr>
            <w:tcW w:w="0" w:type="auto"/>
            <w:hideMark/>
          </w:tcPr>
          <w:tbl>
            <w:tblPr>
              <w:tblW w:w="5000" w:type="pct"/>
              <w:tblCellMar>
                <w:left w:w="0" w:type="dxa"/>
                <w:right w:w="0" w:type="dxa"/>
              </w:tblCellMar>
              <w:tblLook w:val="04A0" w:firstRow="1" w:lastRow="0" w:firstColumn="1" w:lastColumn="0" w:noHBand="0" w:noVBand="1"/>
            </w:tblPr>
            <w:tblGrid>
              <w:gridCol w:w="9006"/>
            </w:tblGrid>
            <w:tr w:rsidR="002F180C" w14:paraId="6537CE38" w14:textId="77777777">
              <w:tc>
                <w:tcPr>
                  <w:tcW w:w="0" w:type="auto"/>
                  <w:tcMar>
                    <w:top w:w="150" w:type="dxa"/>
                    <w:left w:w="0" w:type="dxa"/>
                    <w:bottom w:w="0" w:type="dxa"/>
                    <w:right w:w="0" w:type="dxa"/>
                  </w:tcMar>
                  <w:hideMark/>
                </w:tcPr>
                <w:tbl>
                  <w:tblPr>
                    <w:tblW w:w="8700" w:type="dxa"/>
                    <w:tblCellMar>
                      <w:left w:w="0" w:type="dxa"/>
                      <w:right w:w="0" w:type="dxa"/>
                    </w:tblCellMar>
                    <w:tblLook w:val="04A0" w:firstRow="1" w:lastRow="0" w:firstColumn="1" w:lastColumn="0" w:noHBand="0" w:noVBand="1"/>
                  </w:tblPr>
                  <w:tblGrid>
                    <w:gridCol w:w="9006"/>
                  </w:tblGrid>
                  <w:tr w:rsidR="002F180C" w14:paraId="683FD9A3" w14:textId="77777777">
                    <w:tc>
                      <w:tcPr>
                        <w:tcW w:w="0" w:type="auto"/>
                        <w:tcMar>
                          <w:top w:w="0" w:type="dxa"/>
                          <w:left w:w="0" w:type="dxa"/>
                          <w:bottom w:w="150" w:type="dxa"/>
                          <w:right w:w="0" w:type="dxa"/>
                        </w:tcMar>
                      </w:tcPr>
                      <w:p w14:paraId="1DC54345" w14:textId="77777777" w:rsidR="002F180C" w:rsidRDefault="002F180C">
                        <w:pPr>
                          <w:spacing w:line="285" w:lineRule="atLeast"/>
                          <w:rPr>
                            <w:rFonts w:ascii="Helvetica" w:hAnsi="Helvetica" w:cs="Helvetica"/>
                            <w:color w:val="333333"/>
                            <w:sz w:val="21"/>
                            <w:szCs w:val="21"/>
                          </w:rPr>
                        </w:pPr>
                      </w:p>
                      <w:p w14:paraId="33B28117" w14:textId="77777777" w:rsidR="002F180C" w:rsidRDefault="002F180C">
                        <w:pPr>
                          <w:pStyle w:val="NormalWeb"/>
                          <w:rPr>
                            <w:sz w:val="24"/>
                            <w:szCs w:val="24"/>
                          </w:rPr>
                        </w:pPr>
                        <w:r>
                          <w:rPr>
                            <w:sz w:val="24"/>
                            <w:szCs w:val="24"/>
                          </w:rPr>
                          <w:t>While this may not affect every not-for-profit organisation the following information from the Institute of Company Directors and Our Community is timely reminder of the governance obligations of Boards, Management Committees and organisations in general. The article is simple to navigate and the policy and procedure templates provided cover all aspects of the legislation in simple clear terms. The linked policy and procedure whilst not mandatory for Associations is simply good/better/best governance.</w:t>
                        </w:r>
                      </w:p>
                      <w:p w14:paraId="7667E5FA" w14:textId="77777777" w:rsidR="002F180C" w:rsidRDefault="002F180C">
                        <w:pPr>
                          <w:pStyle w:val="lede"/>
                        </w:pPr>
                        <w:r>
                          <w:t>your organisation impacted by changes in national whistleblowing statute?</w:t>
                        </w:r>
                      </w:p>
                      <w:tbl>
                        <w:tblPr>
                          <w:tblW w:w="8700" w:type="dxa"/>
                          <w:tblCellMar>
                            <w:left w:w="0" w:type="dxa"/>
                            <w:right w:w="0" w:type="dxa"/>
                          </w:tblCellMar>
                          <w:tblLook w:val="04A0" w:firstRow="1" w:lastRow="0" w:firstColumn="1" w:lastColumn="0" w:noHBand="0" w:noVBand="1"/>
                        </w:tblPr>
                        <w:tblGrid>
                          <w:gridCol w:w="9000"/>
                          <w:gridCol w:w="6"/>
                        </w:tblGrid>
                        <w:tr w:rsidR="002F180C" w14:paraId="60CB3E2B" w14:textId="77777777">
                          <w:tc>
                            <w:tcPr>
                              <w:tcW w:w="0" w:type="auto"/>
                              <w:tcMar>
                                <w:top w:w="0" w:type="dxa"/>
                                <w:left w:w="0" w:type="dxa"/>
                                <w:bottom w:w="150" w:type="dxa"/>
                                <w:right w:w="0" w:type="dxa"/>
                              </w:tcMar>
                              <w:hideMark/>
                            </w:tcPr>
                            <w:p w14:paraId="0AEEA0AF" w14:textId="17FEC764" w:rsidR="002F180C" w:rsidRDefault="002F180C">
                              <w:pPr>
                                <w:spacing w:line="285" w:lineRule="atLeast"/>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584285B7" wp14:editId="17BF1113">
                                    <wp:extent cx="5715000" cy="676275"/>
                                    <wp:effectExtent l="0" t="0" r="0" b="9525"/>
                                    <wp:docPr id="2" name="Picture 2" descr="The Institute of Community Direc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Institute of Community Directo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676275"/>
                                            </a:xfrm>
                                            <a:prstGeom prst="rect">
                                              <a:avLst/>
                                            </a:prstGeom>
                                            <a:noFill/>
                                            <a:ln>
                                              <a:noFill/>
                                            </a:ln>
                                          </pic:spPr>
                                        </pic:pic>
                                      </a:graphicData>
                                    </a:graphic>
                                  </wp:inline>
                                </w:drawing>
                              </w:r>
                            </w:p>
                          </w:tc>
                          <w:tc>
                            <w:tcPr>
                              <w:tcW w:w="6" w:type="dxa"/>
                              <w:hideMark/>
                            </w:tcPr>
                            <w:p w14:paraId="7F970C99" w14:textId="77777777" w:rsidR="002F180C" w:rsidRDefault="002F180C">
                              <w:pPr>
                                <w:rPr>
                                  <w:rFonts w:ascii="Helvetica" w:hAnsi="Helvetica" w:cs="Helvetica"/>
                                  <w:color w:val="333333"/>
                                  <w:sz w:val="21"/>
                                  <w:szCs w:val="21"/>
                                </w:rPr>
                              </w:pPr>
                            </w:p>
                          </w:tc>
                        </w:tr>
                      </w:tbl>
                      <w:p w14:paraId="203FC3A4" w14:textId="77777777" w:rsidR="002F180C" w:rsidRDefault="002F180C">
                        <w:pPr>
                          <w:pStyle w:val="NormalWeb"/>
                        </w:pPr>
                        <w:r>
                          <w:t>Whistleblowing plays a crucial role in managing risk and cultivating an ethical culture in a not-for-profit organisation.</w:t>
                        </w:r>
                      </w:p>
                      <w:p w14:paraId="633EC457" w14:textId="77777777" w:rsidR="002F180C" w:rsidRDefault="002F180C">
                        <w:pPr>
                          <w:pStyle w:val="NormalWeb"/>
                        </w:pPr>
                        <w:r>
                          <w:t>During 2019, national whistleblowing statue was adopted and from January 1, 2020, some not-for-profits will be required by law to have a whistleblower policy in place.</w:t>
                        </w:r>
                      </w:p>
                      <w:p w14:paraId="4E15D557" w14:textId="77777777" w:rsidR="002F180C" w:rsidRDefault="002F180C">
                        <w:pPr>
                          <w:pStyle w:val="NormalWeb"/>
                        </w:pPr>
                        <w:r>
                          <w:t xml:space="preserve">You can learn more about these statutory changes on page 33 of the latest edition of </w:t>
                        </w:r>
                        <w:hyperlink r:id="rId7" w:history="1">
                          <w:r>
                            <w:rPr>
                              <w:rStyle w:val="Hyperlink"/>
                            </w:rPr>
                            <w:t>Our Community Matters</w:t>
                          </w:r>
                        </w:hyperlink>
                        <w:r>
                          <w:t>.</w:t>
                        </w:r>
                      </w:p>
                      <w:p w14:paraId="229426FC" w14:textId="77777777" w:rsidR="002F180C" w:rsidRDefault="002F180C">
                        <w:pPr>
                          <w:pStyle w:val="Heading3"/>
                          <w:spacing w:line="285" w:lineRule="atLeast"/>
                          <w:rPr>
                            <w:rFonts w:ascii="Helvetica" w:eastAsia="Times New Roman" w:hAnsi="Helvetica" w:cs="Helvetica"/>
                          </w:rPr>
                        </w:pPr>
                        <w:r>
                          <w:rPr>
                            <w:rFonts w:ascii="Helvetica" w:eastAsia="Times New Roman" w:hAnsi="Helvetica" w:cs="Helvetica"/>
                          </w:rPr>
                          <w:t>Who is impacted by these changes?</w:t>
                        </w:r>
                      </w:p>
                      <w:p w14:paraId="28A86671" w14:textId="77777777" w:rsidR="002F180C" w:rsidRDefault="002F180C">
                        <w:pPr>
                          <w:pStyle w:val="NormalWeb"/>
                        </w:pPr>
                        <w:r>
                          <w:t>The Australian Securities and Investments Commission (ASIC) has recently published guidance that will help you understand your obligations. We've broken it down simply for you:</w:t>
                        </w:r>
                      </w:p>
                      <w:p w14:paraId="5F6ECF2C" w14:textId="0892C818" w:rsidR="002F180C" w:rsidRDefault="002F180C">
                        <w:pPr>
                          <w:spacing w:after="240" w:line="285" w:lineRule="atLeast"/>
                          <w:rPr>
                            <w:rFonts w:ascii="Helvetica" w:hAnsi="Helvetica" w:cs="Helvetica"/>
                            <w:color w:val="333333"/>
                            <w:sz w:val="21"/>
                            <w:szCs w:val="21"/>
                          </w:rPr>
                        </w:pPr>
                        <w:r>
                          <w:rPr>
                            <w:rFonts w:ascii="Helvetica" w:hAnsi="Helvetica" w:cs="Helvetica"/>
                            <w:color w:val="333333"/>
                            <w:sz w:val="21"/>
                            <w:szCs w:val="21"/>
                          </w:rPr>
                          <w:lastRenderedPageBreak/>
                          <w:br/>
                        </w:r>
                        <w:r>
                          <w:rPr>
                            <w:rFonts w:ascii="Helvetica" w:hAnsi="Helvetica" w:cs="Helvetica"/>
                            <w:noProof/>
                            <w:color w:val="97569F"/>
                            <w:sz w:val="21"/>
                            <w:szCs w:val="21"/>
                          </w:rPr>
                          <w:drawing>
                            <wp:inline distT="0" distB="0" distL="0" distR="0" wp14:anchorId="0B10AF4D" wp14:editId="027CCB60">
                              <wp:extent cx="5524500" cy="4229100"/>
                              <wp:effectExtent l="0" t="0" r="0" b="0"/>
                              <wp:docPr id="1" name="Picture 1" descr="Read ASIC's guidance">
                                <a:hlinkClick xmlns:a="http://schemas.openxmlformats.org/drawingml/2006/main" r:id="rId8" tooltip="&quot;Read ASIC's guidanc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d ASIC's guidance">
                                        <a:hlinkClick r:id="rId8" tooltip="&quot;Read ASIC's guidanc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0" cy="4229100"/>
                                      </a:xfrm>
                                      <a:prstGeom prst="rect">
                                        <a:avLst/>
                                      </a:prstGeom>
                                      <a:noFill/>
                                      <a:ln>
                                        <a:noFill/>
                                      </a:ln>
                                    </pic:spPr>
                                  </pic:pic>
                                </a:graphicData>
                              </a:graphic>
                            </wp:inline>
                          </w:drawing>
                        </w:r>
                      </w:p>
                      <w:p w14:paraId="390EA7D2" w14:textId="77777777" w:rsidR="002F180C" w:rsidRDefault="002F180C">
                        <w:pPr>
                          <w:pStyle w:val="NormalWeb"/>
                        </w:pPr>
                        <w:r>
                          <w:t xml:space="preserve">If your organisation has a whistleblower policy already but it was drafted before November 2019, you should review it before January 1 2020 to ensure it takes </w:t>
                        </w:r>
                        <w:hyperlink r:id="rId10" w:tooltip="Read ASIC's guidance" w:history="1">
                          <w:r>
                            <w:rPr>
                              <w:rStyle w:val="Hyperlink"/>
                            </w:rPr>
                            <w:t>ASIC's guidance</w:t>
                          </w:r>
                        </w:hyperlink>
                        <w:r>
                          <w:t xml:space="preserve"> into account.</w:t>
                        </w:r>
                      </w:p>
                      <w:p w14:paraId="4571492B" w14:textId="77777777" w:rsidR="002F180C" w:rsidRDefault="002F180C">
                        <w:pPr>
                          <w:pStyle w:val="NormalWeb"/>
                        </w:pPr>
                        <w:r>
                          <w:t xml:space="preserve">Even if the law doesn't insist on it, there's no reason to not have a robust whistleblowing policy in place. </w:t>
                        </w:r>
                      </w:p>
                      <w:p w14:paraId="6E9B81B8" w14:textId="77777777" w:rsidR="002F180C" w:rsidRDefault="002F180C">
                        <w:pPr>
                          <w:pStyle w:val="Heading3"/>
                          <w:spacing w:line="285" w:lineRule="atLeast"/>
                          <w:rPr>
                            <w:rFonts w:ascii="Helvetica" w:eastAsia="Times New Roman" w:hAnsi="Helvetica" w:cs="Helvetica"/>
                          </w:rPr>
                        </w:pPr>
                        <w:r>
                          <w:rPr>
                            <w:rFonts w:ascii="Helvetica" w:eastAsia="Times New Roman" w:hAnsi="Helvetica" w:cs="Helvetica"/>
                          </w:rPr>
                          <w:t>We've done the legwork for you</w:t>
                        </w:r>
                      </w:p>
                      <w:p w14:paraId="5ECC6CE6" w14:textId="77777777" w:rsidR="002F180C" w:rsidRDefault="002F180C">
                        <w:pPr>
                          <w:pStyle w:val="NormalWeb"/>
                        </w:pPr>
                        <w:r>
                          <w:t xml:space="preserve">We understand the impact these kinds of changes can have, and we've worked with our trusted partner </w:t>
                        </w:r>
                        <w:hyperlink r:id="rId11" w:history="1">
                          <w:r>
                            <w:rPr>
                              <w:rStyle w:val="Hyperlink"/>
                            </w:rPr>
                            <w:t>Moores</w:t>
                          </w:r>
                        </w:hyperlink>
                        <w:r>
                          <w:t xml:space="preserve"> to draft a whistleblower policy that is fit-for-purpose for most not-for-profit organisations*.</w:t>
                        </w:r>
                      </w:p>
                      <w:p w14:paraId="355A0D36" w14:textId="785F71B8" w:rsidR="002F180C" w:rsidRDefault="002F180C" w:rsidP="002F180C">
                        <w:pPr>
                          <w:pStyle w:val="NormalWeb"/>
                          <w:rPr>
                            <w:rFonts w:ascii="Helvetica" w:hAnsi="Helvetica" w:cs="Helvetica"/>
                            <w:color w:val="333333"/>
                            <w:sz w:val="21"/>
                            <w:szCs w:val="21"/>
                          </w:rPr>
                        </w:pPr>
                        <w:r>
                          <w:t xml:space="preserve">The drafting of this kind of policy would normally cost $2,000 - $4,000. We thank Moores for their pro-bono contribution, and for giving back to the not-for-profit sector. </w:t>
                        </w:r>
                      </w:p>
                      <w:tbl>
                        <w:tblPr>
                          <w:tblW w:w="5000" w:type="pct"/>
                          <w:tblCellMar>
                            <w:left w:w="0" w:type="dxa"/>
                            <w:right w:w="0" w:type="dxa"/>
                          </w:tblCellMar>
                          <w:tblLook w:val="04A0" w:firstRow="1" w:lastRow="0" w:firstColumn="1" w:lastColumn="0" w:noHBand="0" w:noVBand="1"/>
                        </w:tblPr>
                        <w:tblGrid>
                          <w:gridCol w:w="9006"/>
                        </w:tblGrid>
                        <w:tr w:rsidR="002F180C" w14:paraId="187C9622" w14:textId="77777777">
                          <w:tc>
                            <w:tcPr>
                              <w:tcW w:w="0" w:type="auto"/>
                              <w:tcMar>
                                <w:top w:w="0" w:type="dxa"/>
                                <w:left w:w="0" w:type="dxa"/>
                                <w:bottom w:w="150" w:type="dxa"/>
                                <w:right w:w="0" w:type="dxa"/>
                              </w:tcMar>
                              <w:hideMark/>
                            </w:tcPr>
                            <w:tbl>
                              <w:tblPr>
                                <w:tblW w:w="8700" w:type="dxa"/>
                                <w:tblCellMar>
                                  <w:left w:w="0" w:type="dxa"/>
                                  <w:right w:w="0" w:type="dxa"/>
                                </w:tblCellMar>
                                <w:tblLook w:val="04A0" w:firstRow="1" w:lastRow="0" w:firstColumn="1" w:lastColumn="0" w:noHBand="0" w:noVBand="1"/>
                              </w:tblPr>
                              <w:tblGrid>
                                <w:gridCol w:w="8694"/>
                                <w:gridCol w:w="6"/>
                              </w:tblGrid>
                              <w:tr w:rsidR="002F180C" w14:paraId="45C62CC1" w14:textId="77777777">
                                <w:tc>
                                  <w:tcPr>
                                    <w:tcW w:w="0" w:type="auto"/>
                                    <w:tcMar>
                                      <w:top w:w="0" w:type="dxa"/>
                                      <w:left w:w="0" w:type="dxa"/>
                                      <w:bottom w:w="150" w:type="dxa"/>
                                      <w:right w:w="0" w:type="dxa"/>
                                    </w:tcMar>
                                    <w:hideMark/>
                                  </w:tcPr>
                                  <w:tbl>
                                    <w:tblPr>
                                      <w:tblW w:w="5000" w:type="pct"/>
                                      <w:tblCellMar>
                                        <w:left w:w="0" w:type="dxa"/>
                                        <w:right w:w="0" w:type="dxa"/>
                                      </w:tblCellMar>
                                      <w:tblLook w:val="04A0" w:firstRow="1" w:lastRow="0" w:firstColumn="1" w:lastColumn="0" w:noHBand="0" w:noVBand="1"/>
                                    </w:tblPr>
                                    <w:tblGrid>
                                      <w:gridCol w:w="8674"/>
                                    </w:tblGrid>
                                    <w:tr w:rsidR="002F180C" w14:paraId="1CED3D49" w14:textId="77777777">
                                      <w:tc>
                                        <w:tcPr>
                                          <w:tcW w:w="6" w:type="dxa"/>
                                          <w:tcBorders>
                                            <w:top w:val="single" w:sz="8" w:space="0" w:color="6CC4B3"/>
                                            <w:left w:val="single" w:sz="8" w:space="0" w:color="6CC4B3"/>
                                            <w:bottom w:val="single" w:sz="8" w:space="0" w:color="6CC4B3"/>
                                            <w:right w:val="single" w:sz="8" w:space="0" w:color="6CC4B3"/>
                                          </w:tcBorders>
                                          <w:shd w:val="clear" w:color="auto" w:fill="6CC4B3"/>
                                          <w:tcMar>
                                            <w:top w:w="180" w:type="dxa"/>
                                            <w:left w:w="0" w:type="dxa"/>
                                            <w:bottom w:w="150" w:type="dxa"/>
                                            <w:right w:w="0" w:type="dxa"/>
                                          </w:tcMar>
                                          <w:hideMark/>
                                        </w:tcPr>
                                        <w:p w14:paraId="5AB99746" w14:textId="77777777" w:rsidR="002F180C" w:rsidRDefault="00145001">
                                          <w:pPr>
                                            <w:spacing w:line="285" w:lineRule="atLeast"/>
                                            <w:jc w:val="center"/>
                                            <w:rPr>
                                              <w:rFonts w:ascii="Helvetica" w:hAnsi="Helvetica" w:cs="Helvetica"/>
                                              <w:color w:val="FFFFFF"/>
                                              <w:sz w:val="21"/>
                                              <w:szCs w:val="21"/>
                                            </w:rPr>
                                          </w:pPr>
                                          <w:hyperlink r:id="rId12" w:tooltip="Download the free policy here" w:history="1">
                                            <w:r w:rsidR="002F180C">
                                              <w:rPr>
                                                <w:rStyle w:val="Hyperlink"/>
                                                <w:rFonts w:ascii="Helvetica" w:hAnsi="Helvetica" w:cs="Helvetica"/>
                                                <w:b/>
                                                <w:bCs/>
                                                <w:color w:val="FFFFFF"/>
                                                <w:sz w:val="30"/>
                                                <w:szCs w:val="30"/>
                                              </w:rPr>
                                              <w:t> Download your free whistleblower policy here </w:t>
                                            </w:r>
                                          </w:hyperlink>
                                          <w:r w:rsidR="002F180C">
                                            <w:rPr>
                                              <w:rFonts w:ascii="Helvetica" w:hAnsi="Helvetica" w:cs="Helvetica"/>
                                              <w:color w:val="FFFFFF"/>
                                              <w:sz w:val="21"/>
                                              <w:szCs w:val="21"/>
                                            </w:rPr>
                                            <w:t xml:space="preserve"> </w:t>
                                          </w:r>
                                        </w:p>
                                      </w:tc>
                                    </w:tr>
                                  </w:tbl>
                                  <w:p w14:paraId="5454DFBA" w14:textId="77777777" w:rsidR="002F180C" w:rsidRDefault="002F180C">
                                    <w:pPr>
                                      <w:rPr>
                                        <w:rFonts w:ascii="Times New Roman" w:eastAsia="Times New Roman" w:hAnsi="Times New Roman" w:cs="Times New Roman"/>
                                        <w:sz w:val="20"/>
                                        <w:szCs w:val="20"/>
                                      </w:rPr>
                                    </w:pPr>
                                  </w:p>
                                </w:tc>
                                <w:tc>
                                  <w:tcPr>
                                    <w:tcW w:w="6" w:type="dxa"/>
                                    <w:hideMark/>
                                  </w:tcPr>
                                  <w:p w14:paraId="5717C3FA" w14:textId="77777777" w:rsidR="002F180C" w:rsidRDefault="002F180C">
                                    <w:pPr>
                                      <w:rPr>
                                        <w:rFonts w:ascii="Times New Roman" w:eastAsia="Times New Roman" w:hAnsi="Times New Roman" w:cs="Times New Roman"/>
                                        <w:sz w:val="20"/>
                                        <w:szCs w:val="20"/>
                                      </w:rPr>
                                    </w:pPr>
                                  </w:p>
                                </w:tc>
                              </w:tr>
                            </w:tbl>
                            <w:p w14:paraId="5EAFC745" w14:textId="77777777" w:rsidR="002F180C" w:rsidRDefault="002F180C">
                              <w:pPr>
                                <w:rPr>
                                  <w:rFonts w:ascii="Times New Roman" w:eastAsia="Times New Roman" w:hAnsi="Times New Roman" w:cs="Times New Roman"/>
                                  <w:sz w:val="20"/>
                                  <w:szCs w:val="20"/>
                                </w:rPr>
                              </w:pPr>
                            </w:p>
                          </w:tc>
                        </w:tr>
                      </w:tbl>
                      <w:p w14:paraId="42FB6C25" w14:textId="77777777" w:rsidR="002F180C" w:rsidRDefault="002F180C">
                        <w:pPr>
                          <w:pStyle w:val="Heading3"/>
                          <w:spacing w:line="285" w:lineRule="atLeast"/>
                          <w:rPr>
                            <w:rStyle w:val="Strong"/>
                            <w:rFonts w:ascii="Helvetica" w:eastAsia="Times New Roman" w:hAnsi="Helvetica" w:cs="Helvetica"/>
                            <w:b/>
                            <w:bCs/>
                          </w:rPr>
                        </w:pPr>
                      </w:p>
                      <w:p w14:paraId="7E9857AF" w14:textId="009A8560" w:rsidR="002F180C" w:rsidRDefault="002F180C">
                        <w:pPr>
                          <w:pStyle w:val="Heading3"/>
                          <w:spacing w:line="285" w:lineRule="atLeast"/>
                          <w:rPr>
                            <w:rFonts w:ascii="Helvetica" w:eastAsia="Times New Roman" w:hAnsi="Helvetica" w:cs="Helvetica"/>
                          </w:rPr>
                        </w:pPr>
                        <w:r>
                          <w:rPr>
                            <w:rStyle w:val="Strong"/>
                            <w:rFonts w:ascii="Helvetica" w:eastAsia="Times New Roman" w:hAnsi="Helvetica" w:cs="Helvetica"/>
                            <w:b/>
                            <w:bCs/>
                          </w:rPr>
                          <w:lastRenderedPageBreak/>
                          <w:t>Using the template</w:t>
                        </w:r>
                      </w:p>
                      <w:p w14:paraId="3568E3C3" w14:textId="77777777" w:rsidR="002F180C" w:rsidRDefault="002F180C">
                        <w:pPr>
                          <w:pStyle w:val="NormalWeb"/>
                        </w:pPr>
                        <w:r>
                          <w:t>Please note that this is a template policy for guidance only. For assistance in tailoring this policy to suit your organisation, or for legal advice at a pre-agreed price or training in this area, please contact Moores. They are Our Community's preferred legal supplier and know this policy inside and out.</w:t>
                        </w:r>
                      </w:p>
                      <w:p w14:paraId="74B9221F" w14:textId="77777777" w:rsidR="002F180C" w:rsidRDefault="002F180C">
                        <w:pPr>
                          <w:pStyle w:val="NormalWeb"/>
                        </w:pPr>
                        <w:r>
                          <w:t xml:space="preserve">You can reach them on (03) 9843 2119 or by emailing </w:t>
                        </w:r>
                        <w:hyperlink r:id="rId13" w:history="1">
                          <w:r>
                            <w:rPr>
                              <w:rStyle w:val="Hyperlink"/>
                            </w:rPr>
                            <w:t>NFPassist@moores.com.au</w:t>
                          </w:r>
                        </w:hyperlink>
                        <w:r>
                          <w:t>.</w:t>
                        </w:r>
                      </w:p>
                      <w:p w14:paraId="3DDAA83D" w14:textId="77777777" w:rsidR="002F180C" w:rsidRDefault="002F180C">
                        <w:pPr>
                          <w:pStyle w:val="NormalWeb"/>
                        </w:pPr>
                        <w:r>
                          <w:t>Kind regards,</w:t>
                        </w:r>
                        <w:r>
                          <w:br/>
                          <w:t>The Institute of Community Directors Australia team</w:t>
                        </w:r>
                      </w:p>
                      <w:p w14:paraId="0E3A2B3E" w14:textId="77777777" w:rsidR="002F180C" w:rsidRDefault="002F180C">
                        <w:pPr>
                          <w:pStyle w:val="panel"/>
                          <w:spacing w:before="0" w:beforeAutospacing="0" w:after="0" w:afterAutospacing="0" w:line="285" w:lineRule="atLeast"/>
                          <w:rPr>
                            <w:rFonts w:ascii="Helvetica" w:hAnsi="Helvetica" w:cs="Helvetica"/>
                            <w:color w:val="333333"/>
                            <w:sz w:val="21"/>
                            <w:szCs w:val="21"/>
                          </w:rPr>
                        </w:pPr>
                        <w:r>
                          <w:rPr>
                            <w:rStyle w:val="Strong"/>
                            <w:rFonts w:ascii="Helvetica" w:hAnsi="Helvetica" w:cs="Helvetica"/>
                            <w:color w:val="333333"/>
                            <w:sz w:val="21"/>
                            <w:szCs w:val="21"/>
                          </w:rPr>
                          <w:t>P.S.</w:t>
                        </w:r>
                        <w:r>
                          <w:rPr>
                            <w:rFonts w:ascii="Helvetica" w:hAnsi="Helvetica" w:cs="Helvetica"/>
                            <w:color w:val="333333"/>
                            <w:sz w:val="21"/>
                            <w:szCs w:val="21"/>
                          </w:rPr>
                          <w:t xml:space="preserve"> If you appreciate this free policy, we'd appreciate your ongoing support by joining Our Community's Institute of Community Directors Australia from only $65 (inc GST) p.a. </w:t>
                        </w:r>
                        <w:hyperlink r:id="rId14" w:tooltip="Learn about the benefits of an affordable ICDA membership" w:history="1">
                          <w:r>
                            <w:rPr>
                              <w:rStyle w:val="Hyperlink"/>
                              <w:rFonts w:ascii="Helvetica" w:hAnsi="Helvetica" w:cs="Helvetica"/>
                              <w:sz w:val="21"/>
                              <w:szCs w:val="21"/>
                            </w:rPr>
                            <w:t>Read about the benefits of membership here</w:t>
                          </w:r>
                        </w:hyperlink>
                        <w:r>
                          <w:rPr>
                            <w:rFonts w:ascii="Helvetica" w:hAnsi="Helvetica" w:cs="Helvetica"/>
                            <w:color w:val="333333"/>
                            <w:sz w:val="21"/>
                            <w:szCs w:val="21"/>
                          </w:rPr>
                          <w:t>.</w:t>
                        </w:r>
                      </w:p>
                      <w:p w14:paraId="68999D99" w14:textId="77777777" w:rsidR="002F180C" w:rsidRDefault="002F180C">
                        <w:pPr>
                          <w:spacing w:line="285" w:lineRule="atLeast"/>
                          <w:rPr>
                            <w:rFonts w:ascii="Helvetica" w:hAnsi="Helvetica" w:cs="Helvetica"/>
                            <w:color w:val="333333"/>
                            <w:sz w:val="21"/>
                            <w:szCs w:val="21"/>
                          </w:rPr>
                        </w:pPr>
                      </w:p>
                    </w:tc>
                  </w:tr>
                </w:tbl>
                <w:p w14:paraId="748D20FF" w14:textId="77777777" w:rsidR="002F180C" w:rsidRDefault="002F180C">
                  <w:pPr>
                    <w:rPr>
                      <w:rFonts w:ascii="Times New Roman" w:eastAsia="Times New Roman" w:hAnsi="Times New Roman" w:cs="Times New Roman"/>
                      <w:sz w:val="20"/>
                      <w:szCs w:val="20"/>
                    </w:rPr>
                  </w:pPr>
                </w:p>
              </w:tc>
            </w:tr>
          </w:tbl>
          <w:p w14:paraId="28EF36A7" w14:textId="77777777" w:rsidR="002F180C" w:rsidRDefault="002F180C">
            <w:pPr>
              <w:rPr>
                <w:rFonts w:ascii="Times New Roman" w:eastAsia="Times New Roman" w:hAnsi="Times New Roman" w:cs="Times New Roman"/>
                <w:sz w:val="20"/>
                <w:szCs w:val="20"/>
              </w:rPr>
            </w:pPr>
          </w:p>
        </w:tc>
      </w:tr>
    </w:tbl>
    <w:p w14:paraId="0FEBE104" w14:textId="77777777" w:rsidR="009121AF" w:rsidRDefault="00145001" w:rsidP="002F180C"/>
    <w:sectPr w:rsidR="009121AF" w:rsidSect="00CC1E3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2DB34" w14:textId="77777777" w:rsidR="00145001" w:rsidRDefault="00145001" w:rsidP="00CC1E3E">
      <w:r>
        <w:separator/>
      </w:r>
    </w:p>
  </w:endnote>
  <w:endnote w:type="continuationSeparator" w:id="0">
    <w:p w14:paraId="7E2499A2" w14:textId="77777777" w:rsidR="00145001" w:rsidRDefault="00145001" w:rsidP="00CC1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14EA2" w14:textId="77777777" w:rsidR="00CC1E3E" w:rsidRDefault="00CC1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1179038828"/>
      <w:docPartObj>
        <w:docPartGallery w:val="Page Numbers (Bottom of Page)"/>
        <w:docPartUnique/>
      </w:docPartObj>
    </w:sdtPr>
    <w:sdtEndPr>
      <w:rPr>
        <w:noProof/>
      </w:rPr>
    </w:sdtEndPr>
    <w:sdtContent>
      <w:p w14:paraId="000BBD7D" w14:textId="5477EA9D" w:rsidR="00CC1E3E" w:rsidRDefault="00CC1E3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77A0C4" w14:textId="77777777" w:rsidR="00CC1E3E" w:rsidRDefault="00CC1E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AF86" w14:textId="77777777" w:rsidR="00CC1E3E" w:rsidRDefault="00CC1E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48DE3" w14:textId="77777777" w:rsidR="00145001" w:rsidRDefault="00145001" w:rsidP="00CC1E3E">
      <w:r>
        <w:separator/>
      </w:r>
    </w:p>
  </w:footnote>
  <w:footnote w:type="continuationSeparator" w:id="0">
    <w:p w14:paraId="72309EC2" w14:textId="77777777" w:rsidR="00145001" w:rsidRDefault="00145001" w:rsidP="00CC1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C3322" w14:textId="77777777" w:rsidR="00CC1E3E" w:rsidRDefault="00CC1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F7255" w14:textId="77777777" w:rsidR="00CC1E3E" w:rsidRDefault="00CC1E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A3650" w14:textId="77777777" w:rsidR="00CC1E3E" w:rsidRDefault="00CC1E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80C"/>
    <w:rsid w:val="00145001"/>
    <w:rsid w:val="002F180C"/>
    <w:rsid w:val="00CC1E3E"/>
    <w:rsid w:val="00DB62AF"/>
    <w:rsid w:val="00DF1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0BBF5"/>
  <w15:chartTrackingRefBased/>
  <w15:docId w15:val="{6D1B515A-67A5-4B43-90DC-DAC9FD395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80C"/>
    <w:pPr>
      <w:spacing w:after="0" w:line="240" w:lineRule="auto"/>
    </w:pPr>
    <w:rPr>
      <w:rFonts w:ascii="Calibri" w:hAnsi="Calibri" w:cs="Calibri"/>
      <w:lang w:eastAsia="en-AU"/>
    </w:rPr>
  </w:style>
  <w:style w:type="paragraph" w:styleId="Heading3">
    <w:name w:val="heading 3"/>
    <w:basedOn w:val="Normal"/>
    <w:link w:val="Heading3Char"/>
    <w:uiPriority w:val="9"/>
    <w:semiHidden/>
    <w:unhideWhenUsed/>
    <w:qFormat/>
    <w:rsid w:val="002F180C"/>
    <w:pPr>
      <w:spacing w:before="100" w:beforeAutospacing="1" w:after="100" w:afterAutospacing="1"/>
      <w:outlineLvl w:val="2"/>
    </w:pPr>
    <w:rPr>
      <w:b/>
      <w:bCs/>
      <w:color w:val="EB6E6E"/>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F180C"/>
    <w:rPr>
      <w:rFonts w:ascii="Calibri" w:hAnsi="Calibri" w:cs="Calibri"/>
      <w:b/>
      <w:bCs/>
      <w:color w:val="EB6E6E"/>
      <w:sz w:val="27"/>
      <w:szCs w:val="27"/>
      <w:lang w:eastAsia="en-AU"/>
    </w:rPr>
  </w:style>
  <w:style w:type="character" w:styleId="Hyperlink">
    <w:name w:val="Hyperlink"/>
    <w:basedOn w:val="DefaultParagraphFont"/>
    <w:uiPriority w:val="99"/>
    <w:semiHidden/>
    <w:unhideWhenUsed/>
    <w:rsid w:val="002F180C"/>
    <w:rPr>
      <w:strike w:val="0"/>
      <w:dstrike w:val="0"/>
      <w:color w:val="97569F"/>
      <w:u w:val="none"/>
      <w:effect w:val="none"/>
    </w:rPr>
  </w:style>
  <w:style w:type="paragraph" w:styleId="NormalWeb">
    <w:name w:val="Normal (Web)"/>
    <w:basedOn w:val="Normal"/>
    <w:uiPriority w:val="99"/>
    <w:unhideWhenUsed/>
    <w:rsid w:val="002F180C"/>
    <w:pPr>
      <w:spacing w:before="100" w:beforeAutospacing="1" w:after="100" w:afterAutospacing="1"/>
    </w:pPr>
  </w:style>
  <w:style w:type="paragraph" w:customStyle="1" w:styleId="lede">
    <w:name w:val="lede"/>
    <w:basedOn w:val="Normal"/>
    <w:uiPriority w:val="99"/>
    <w:semiHidden/>
    <w:rsid w:val="002F180C"/>
    <w:pPr>
      <w:spacing w:line="315" w:lineRule="atLeast"/>
    </w:pPr>
    <w:rPr>
      <w:rFonts w:ascii="Helvetica" w:hAnsi="Helvetica" w:cs="Helvetica"/>
      <w:color w:val="FAFAFA"/>
      <w:sz w:val="15"/>
      <w:szCs w:val="15"/>
    </w:rPr>
  </w:style>
  <w:style w:type="paragraph" w:customStyle="1" w:styleId="panel">
    <w:name w:val="panel"/>
    <w:basedOn w:val="Normal"/>
    <w:uiPriority w:val="99"/>
    <w:semiHidden/>
    <w:rsid w:val="002F180C"/>
    <w:pPr>
      <w:shd w:val="clear" w:color="auto" w:fill="FAFAFA"/>
      <w:spacing w:before="100" w:beforeAutospacing="1" w:after="100" w:afterAutospacing="1"/>
    </w:pPr>
  </w:style>
  <w:style w:type="character" w:styleId="Strong">
    <w:name w:val="Strong"/>
    <w:basedOn w:val="DefaultParagraphFont"/>
    <w:uiPriority w:val="22"/>
    <w:qFormat/>
    <w:rsid w:val="002F180C"/>
    <w:rPr>
      <w:b/>
      <w:bCs/>
    </w:rPr>
  </w:style>
  <w:style w:type="paragraph" w:styleId="Header">
    <w:name w:val="header"/>
    <w:basedOn w:val="Normal"/>
    <w:link w:val="HeaderChar"/>
    <w:uiPriority w:val="99"/>
    <w:unhideWhenUsed/>
    <w:rsid w:val="00CC1E3E"/>
    <w:pPr>
      <w:tabs>
        <w:tab w:val="center" w:pos="4513"/>
        <w:tab w:val="right" w:pos="9026"/>
      </w:tabs>
    </w:pPr>
  </w:style>
  <w:style w:type="character" w:customStyle="1" w:styleId="HeaderChar">
    <w:name w:val="Header Char"/>
    <w:basedOn w:val="DefaultParagraphFont"/>
    <w:link w:val="Header"/>
    <w:uiPriority w:val="99"/>
    <w:rsid w:val="00CC1E3E"/>
    <w:rPr>
      <w:rFonts w:ascii="Calibri" w:hAnsi="Calibri" w:cs="Calibri"/>
      <w:lang w:eastAsia="en-AU"/>
    </w:rPr>
  </w:style>
  <w:style w:type="paragraph" w:styleId="Footer">
    <w:name w:val="footer"/>
    <w:basedOn w:val="Normal"/>
    <w:link w:val="FooterChar"/>
    <w:uiPriority w:val="99"/>
    <w:unhideWhenUsed/>
    <w:rsid w:val="00CC1E3E"/>
    <w:pPr>
      <w:tabs>
        <w:tab w:val="center" w:pos="4513"/>
        <w:tab w:val="right" w:pos="9026"/>
      </w:tabs>
    </w:pPr>
  </w:style>
  <w:style w:type="character" w:customStyle="1" w:styleId="FooterChar">
    <w:name w:val="Footer Char"/>
    <w:basedOn w:val="DefaultParagraphFont"/>
    <w:link w:val="Footer"/>
    <w:uiPriority w:val="99"/>
    <w:rsid w:val="00CC1E3E"/>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18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ic.gov.au/about-asic/asic-investigations-and-enforcement/whistleblowing/whistleblower-protections-for-not-for-profit-organisations/" TargetMode="External"/><Relationship Id="rId13" Type="http://schemas.openxmlformats.org/officeDocument/2006/relationships/hyperlink" Target="mailto:NFPassist@moores.com.au"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issuu.com/ourcommunity.com.au/docs/oc_matters__edn_6_dec_2019/33" TargetMode="External"/><Relationship Id="rId12" Type="http://schemas.openxmlformats.org/officeDocument/2006/relationships/hyperlink" Target="https://communitydirectors.com.au/policies/whistleblower-policy"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moores.com.au/?utm_source=OurCommunity&amp;utm_medium=email&amp;utm_campaign=whistleblower"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asic.gov.au/about-asic/asic-investigations-and-enforcement/whistleblowing/whistleblower-protections-for-not-for-profit-organisations/"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www.communitydirectors.com.au/membership?utm_source=ourcommunity.com.au&amp;utm_medium=email&amp;utm_campaign=whistleblow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Ryans-Taylor</dc:creator>
  <cp:keywords/>
  <dc:description/>
  <cp:lastModifiedBy>Dawn Fenton</cp:lastModifiedBy>
  <cp:revision>2</cp:revision>
  <dcterms:created xsi:type="dcterms:W3CDTF">2020-01-09T04:49:00Z</dcterms:created>
  <dcterms:modified xsi:type="dcterms:W3CDTF">2020-01-16T01:53:00Z</dcterms:modified>
</cp:coreProperties>
</file>